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E9303">
      <w:pPr>
        <w:keepNext w:val="0"/>
        <w:keepLines w:val="0"/>
        <w:pageBreakBefore w:val="0"/>
        <w:widowControl w:val="0"/>
        <w:kinsoku/>
        <w:wordWrap/>
        <w:overflowPunct/>
        <w:topLinePunct w:val="0"/>
        <w:autoSpaceDE/>
        <w:autoSpaceDN/>
        <w:bidi w:val="0"/>
        <w:adjustRightInd w:val="0"/>
        <w:snapToGrid w:val="0"/>
        <w:spacing w:before="0" w:after="0" w:line="700" w:lineRule="exact"/>
        <w:jc w:val="center"/>
        <w:textAlignment w:val="auto"/>
        <w:rPr>
          <w:rFonts w:hint="eastAsia" w:ascii="Times New Roman" w:hAnsi="Times New Roman" w:eastAsia="方正小标宋简体" w:cs="Times New Roman"/>
          <w:color w:val="000000"/>
          <w:spacing w:val="-20"/>
          <w:kern w:val="2"/>
          <w:sz w:val="44"/>
          <w:szCs w:val="44"/>
          <w:lang w:val="en-US" w:eastAsia="zh-CN"/>
        </w:rPr>
      </w:pPr>
      <w:r>
        <w:rPr>
          <w:rFonts w:hint="eastAsia" w:ascii="Times New Roman" w:hAnsi="Times New Roman" w:eastAsia="方正小标宋简体" w:cs="Times New Roman"/>
          <w:color w:val="000000"/>
          <w:kern w:val="2"/>
          <w:sz w:val="44"/>
          <w:szCs w:val="44"/>
          <w:lang w:val="en-US" w:eastAsia="zh-CN"/>
        </w:rPr>
        <w:t>昆明城市污水处理运营有限责任公司集镇设施</w:t>
      </w:r>
      <w:r>
        <w:rPr>
          <w:rFonts w:hint="eastAsia" w:ascii="Times New Roman" w:hAnsi="Times New Roman" w:eastAsia="方正小标宋简体" w:cs="Times New Roman"/>
          <w:color w:val="000000"/>
          <w:spacing w:val="-20"/>
          <w:kern w:val="2"/>
          <w:sz w:val="44"/>
          <w:szCs w:val="44"/>
          <w:lang w:val="en-US" w:eastAsia="zh-CN"/>
        </w:rPr>
        <w:t>管理中心安全专项采购</w:t>
      </w:r>
      <w:r>
        <w:rPr>
          <w:rFonts w:hint="eastAsia" w:eastAsia="方正小标宋简体" w:cs="Times New Roman"/>
          <w:color w:val="000000"/>
          <w:spacing w:val="-20"/>
          <w:kern w:val="2"/>
          <w:sz w:val="44"/>
          <w:szCs w:val="44"/>
          <w:lang w:val="en-US" w:eastAsia="zh-CN"/>
        </w:rPr>
        <w:t>项目</w:t>
      </w:r>
      <w:r>
        <w:rPr>
          <w:rFonts w:hint="eastAsia" w:ascii="Times New Roman" w:hAnsi="Times New Roman" w:eastAsia="方正小标宋简体" w:cs="Times New Roman"/>
          <w:color w:val="000000"/>
          <w:spacing w:val="-20"/>
          <w:kern w:val="2"/>
          <w:sz w:val="44"/>
          <w:szCs w:val="44"/>
          <w:lang w:val="en-US" w:eastAsia="zh-CN"/>
        </w:rPr>
        <w:t>（杨林集镇站铁质烤漆大门、西北沙河站钢制围栏及平台）</w:t>
      </w:r>
    </w:p>
    <w:p w14:paraId="61ACEFA0">
      <w:pPr>
        <w:keepNext w:val="0"/>
        <w:keepLines w:val="0"/>
        <w:pageBreakBefore w:val="0"/>
        <w:widowControl w:val="0"/>
        <w:kinsoku/>
        <w:wordWrap/>
        <w:overflowPunct/>
        <w:topLinePunct w:val="0"/>
        <w:autoSpaceDE/>
        <w:autoSpaceDN/>
        <w:bidi w:val="0"/>
        <w:adjustRightInd w:val="0"/>
        <w:snapToGrid w:val="0"/>
        <w:spacing w:before="0" w:after="0" w:line="700" w:lineRule="exact"/>
        <w:jc w:val="center"/>
        <w:textAlignment w:val="auto"/>
        <w:rPr>
          <w:rFonts w:hint="eastAsia" w:ascii="Times New Roman" w:hAnsi="Times New Roman" w:eastAsia="方正小标宋简体" w:cs="Times New Roman"/>
          <w:color w:val="000000"/>
          <w:kern w:val="2"/>
          <w:sz w:val="44"/>
          <w:szCs w:val="44"/>
          <w:lang w:eastAsia="zh-CN"/>
        </w:rPr>
      </w:pPr>
      <w:r>
        <w:rPr>
          <w:rFonts w:hint="eastAsia" w:ascii="Times New Roman" w:hAnsi="Times New Roman" w:eastAsia="方正小标宋简体" w:cs="Times New Roman"/>
          <w:color w:val="000000"/>
          <w:spacing w:val="-20"/>
          <w:kern w:val="2"/>
          <w:sz w:val="44"/>
          <w:szCs w:val="44"/>
          <w:lang w:eastAsia="zh-CN"/>
        </w:rPr>
        <w:t>询价比选公告</w:t>
      </w:r>
    </w:p>
    <w:p w14:paraId="0769A47B">
      <w:pPr>
        <w:snapToGrid/>
        <w:spacing w:before="200" w:beforeAutospacing="0" w:after="200" w:afterAutospacing="0" w:line="240" w:lineRule="auto"/>
        <w:ind w:left="0" w:leftChars="0" w:right="0" w:rightChars="0" w:firstLine="0" w:firstLineChars="0"/>
        <w:jc w:val="both"/>
        <w:rPr>
          <w:rFonts w:hint="eastAsia" w:ascii="微软雅黑" w:hAnsi="方正小标宋简体" w:eastAsia="微软雅黑" w:cs="方正小标宋简体"/>
          <w:b w:val="0"/>
          <w:color w:val="auto"/>
          <w:sz w:val="32"/>
        </w:rPr>
      </w:pPr>
    </w:p>
    <w:p w14:paraId="34659EB2">
      <w:pPr>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eastAsia" w:ascii="Times New Roman" w:hAnsi="Times New Roman" w:eastAsia="黑体" w:cs="黑体"/>
          <w:b w:val="0"/>
          <w:bCs/>
          <w:color w:val="auto"/>
          <w:sz w:val="32"/>
        </w:rPr>
      </w:pPr>
      <w:r>
        <w:rPr>
          <w:rFonts w:hint="eastAsia" w:ascii="Times New Roman" w:hAnsi="Times New Roman" w:eastAsia="黑体" w:cs="黑体"/>
          <w:b w:val="0"/>
          <w:bCs/>
          <w:color w:val="auto"/>
          <w:sz w:val="32"/>
        </w:rPr>
        <w:t>项目概况</w:t>
      </w:r>
    </w:p>
    <w:p w14:paraId="0B5D653C">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1.1 比选项目名称：</w:t>
      </w:r>
      <w:r>
        <w:rPr>
          <w:rFonts w:hint="eastAsia" w:ascii="Times New Roman" w:hAnsi="Times New Roman" w:eastAsia="仿宋_GB2312"/>
          <w:b w:val="0"/>
          <w:bCs/>
          <w:color w:val="auto"/>
          <w:sz w:val="32"/>
          <w:lang w:val="en-US" w:eastAsia="zh-CN"/>
        </w:rPr>
        <w:t>昆明城市污水处理运营有限责任公司集镇设施管理中心安全专项采购项目（杨林集镇站铁质烤漆大门、西北沙河站钢制围栏及平台）</w:t>
      </w:r>
      <w:r>
        <w:rPr>
          <w:rFonts w:hint="eastAsia" w:ascii="Times New Roman" w:hAnsi="Times New Roman" w:eastAsia="仿宋_GB2312"/>
          <w:b w:val="0"/>
          <w:bCs/>
          <w:color w:val="auto"/>
          <w:sz w:val="32"/>
          <w:lang w:eastAsia="zh-CN"/>
        </w:rPr>
        <w:t>。</w:t>
      </w:r>
    </w:p>
    <w:p w14:paraId="4E2079D5">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1.2 比选单位全称：昆明城市污水处理运营有限责任公司。</w:t>
      </w:r>
    </w:p>
    <w:p w14:paraId="4853B7B4">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1.3 项目周期：供货期</w:t>
      </w:r>
      <w:r>
        <w:rPr>
          <w:rFonts w:hint="eastAsia" w:eastAsia="仿宋_GB2312"/>
          <w:b w:val="0"/>
          <w:bCs/>
          <w:color w:val="auto"/>
          <w:sz w:val="32"/>
          <w:lang w:val="en-US" w:eastAsia="zh-CN"/>
        </w:rPr>
        <w:t>15</w:t>
      </w:r>
      <w:r>
        <w:rPr>
          <w:rFonts w:ascii="Times New Roman" w:hAnsi="Times New Roman" w:eastAsia="仿宋_GB2312"/>
          <w:b w:val="0"/>
          <w:bCs/>
          <w:color w:val="auto"/>
          <w:sz w:val="32"/>
        </w:rPr>
        <w:t>天（含安装调试）；质保期</w:t>
      </w:r>
      <w:r>
        <w:rPr>
          <w:rFonts w:hint="eastAsia" w:eastAsia="仿宋_GB2312"/>
          <w:b w:val="0"/>
          <w:bCs/>
          <w:color w:val="auto"/>
          <w:sz w:val="32"/>
          <w:lang w:val="en-US" w:eastAsia="zh-CN"/>
        </w:rPr>
        <w:t>1</w:t>
      </w:r>
      <w:r>
        <w:rPr>
          <w:rFonts w:ascii="Times New Roman" w:hAnsi="Times New Roman" w:eastAsia="仿宋_GB2312"/>
          <w:b w:val="0"/>
          <w:bCs/>
          <w:color w:val="auto"/>
          <w:sz w:val="32"/>
        </w:rPr>
        <w:t>年。</w:t>
      </w:r>
    </w:p>
    <w:p w14:paraId="798D5850">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1.4 项目内容：本次采购共分为两个子项，分别为：子项一</w:t>
      </w:r>
      <w:r>
        <w:rPr>
          <w:rFonts w:hint="eastAsia" w:eastAsia="仿宋_GB2312"/>
          <w:b w:val="0"/>
          <w:bCs/>
          <w:color w:val="auto"/>
          <w:sz w:val="32"/>
          <w:lang w:eastAsia="zh-CN"/>
        </w:rPr>
        <w:t>：</w:t>
      </w:r>
      <w:r>
        <w:rPr>
          <w:rFonts w:ascii="Times New Roman" w:hAnsi="Times New Roman" w:eastAsia="仿宋_GB2312"/>
          <w:b w:val="0"/>
          <w:bCs/>
          <w:color w:val="auto"/>
          <w:sz w:val="32"/>
        </w:rPr>
        <w:t>杨林集镇站铁质烤漆大门采购及安装（共2扇）；子项二</w:t>
      </w:r>
      <w:r>
        <w:rPr>
          <w:rFonts w:hint="eastAsia" w:eastAsia="仿宋_GB2312"/>
          <w:b w:val="0"/>
          <w:bCs/>
          <w:color w:val="auto"/>
          <w:sz w:val="32"/>
          <w:lang w:eastAsia="zh-CN"/>
        </w:rPr>
        <w:t>：</w:t>
      </w:r>
      <w:r>
        <w:rPr>
          <w:rFonts w:ascii="Times New Roman" w:hAnsi="Times New Roman" w:eastAsia="仿宋_GB2312"/>
          <w:b w:val="0"/>
          <w:bCs/>
          <w:color w:val="auto"/>
          <w:sz w:val="32"/>
        </w:rPr>
        <w:t>五华区西北沙河污水处理站钢制围栏及平台采购及安装（围栏约10米、平台约10.5平方米）。各子项具体采购清单及技术要求详见1.7。</w:t>
      </w:r>
    </w:p>
    <w:p w14:paraId="517B4A4C">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1.5 预算金额：采购预算（含税）不高于</w:t>
      </w:r>
      <w:r>
        <w:rPr>
          <w:rFonts w:hint="eastAsia" w:eastAsia="仿宋_GB2312"/>
          <w:b w:val="0"/>
          <w:bCs/>
          <w:color w:val="auto"/>
          <w:sz w:val="32"/>
          <w:lang w:val="en-US" w:eastAsia="zh-CN"/>
        </w:rPr>
        <w:t>18000</w:t>
      </w:r>
      <w:r>
        <w:rPr>
          <w:rFonts w:ascii="Times New Roman" w:hAnsi="Times New Roman" w:eastAsia="仿宋_GB2312"/>
          <w:b w:val="0"/>
          <w:bCs/>
          <w:color w:val="auto"/>
          <w:sz w:val="32"/>
        </w:rPr>
        <w:t>元。其中子项一限价7000元，子项二限价1</w:t>
      </w:r>
      <w:r>
        <w:rPr>
          <w:rFonts w:hint="eastAsia" w:eastAsia="仿宋_GB2312"/>
          <w:b w:val="0"/>
          <w:bCs/>
          <w:color w:val="auto"/>
          <w:sz w:val="32"/>
          <w:lang w:val="en-US" w:eastAsia="zh-CN"/>
        </w:rPr>
        <w:t>1</w:t>
      </w:r>
      <w:r>
        <w:rPr>
          <w:rFonts w:ascii="Times New Roman" w:hAnsi="Times New Roman" w:eastAsia="仿宋_GB2312"/>
          <w:b w:val="0"/>
          <w:bCs/>
          <w:color w:val="auto"/>
          <w:sz w:val="32"/>
        </w:rPr>
        <w:t>000元。</w:t>
      </w:r>
    </w:p>
    <w:p w14:paraId="57158770">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1.6 项目地点：子项一</w:t>
      </w:r>
      <w:r>
        <w:rPr>
          <w:rFonts w:hint="eastAsia" w:eastAsia="仿宋_GB2312"/>
          <w:b w:val="0"/>
          <w:bCs/>
          <w:color w:val="auto"/>
          <w:sz w:val="32"/>
          <w:lang w:val="en-US" w:eastAsia="zh-CN"/>
        </w:rPr>
        <w:t>嵩明</w:t>
      </w:r>
      <w:r>
        <w:rPr>
          <w:rFonts w:ascii="Times New Roman" w:hAnsi="Times New Roman" w:eastAsia="仿宋_GB2312"/>
          <w:b w:val="0"/>
          <w:bCs/>
          <w:color w:val="auto"/>
          <w:sz w:val="32"/>
        </w:rPr>
        <w:t>杨林集镇站；子项二五华区西北沙河污水处理站。</w:t>
      </w:r>
    </w:p>
    <w:p w14:paraId="05D240E6">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color w:val="auto"/>
          <w:sz w:val="32"/>
        </w:rPr>
      </w:pPr>
      <w:r>
        <w:rPr>
          <w:rFonts w:ascii="Times New Roman" w:hAnsi="Times New Roman" w:eastAsia="仿宋_GB2312"/>
          <w:b w:val="0"/>
          <w:color w:val="auto"/>
          <w:sz w:val="32"/>
        </w:rPr>
        <w:t>1.7 采购清单及技术要求</w:t>
      </w:r>
    </w:p>
    <w:p w14:paraId="76A3AB30">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color w:val="auto"/>
          <w:sz w:val="32"/>
        </w:rPr>
      </w:pPr>
      <w:r>
        <w:rPr>
          <w:rFonts w:ascii="Times New Roman" w:hAnsi="Times New Roman" w:eastAsia="仿宋_GB2312"/>
          <w:b w:val="0"/>
          <w:color w:val="auto"/>
          <w:sz w:val="32"/>
        </w:rPr>
        <w:t>本次采购货物清单详见下表。技术要求：采购货物须为全新合格产品，规格、材质、尺寸符合下表要求，并负责安装调试至可正常使用，满足现场安全使用需要。</w:t>
      </w:r>
    </w:p>
    <w:p w14:paraId="5104233A">
      <w:pPr>
        <w:pStyle w:val="2"/>
      </w:pPr>
    </w:p>
    <w:tbl>
      <w:tblPr>
        <w:tblStyle w:val="32"/>
        <w:tblW w:w="93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3"/>
        <w:gridCol w:w="1171"/>
        <w:gridCol w:w="1518"/>
        <w:gridCol w:w="1929"/>
        <w:gridCol w:w="777"/>
        <w:gridCol w:w="696"/>
        <w:gridCol w:w="1134"/>
        <w:gridCol w:w="1396"/>
      </w:tblGrid>
      <w:tr w14:paraId="6533B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13" w:type="dxa"/>
            <w:shd w:val="clear" w:color="auto" w:fill="D9D9D9"/>
            <w:vAlign w:val="center"/>
          </w:tcPr>
          <w:p w14:paraId="3A9863CF">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color w:val="000000"/>
                <w:sz w:val="24"/>
                <w:szCs w:val="24"/>
              </w:rPr>
              <w:t>序号</w:t>
            </w:r>
          </w:p>
        </w:tc>
        <w:tc>
          <w:tcPr>
            <w:tcW w:w="1171" w:type="dxa"/>
            <w:shd w:val="clear" w:color="auto" w:fill="D9D9D9"/>
            <w:vAlign w:val="center"/>
          </w:tcPr>
          <w:p w14:paraId="701BBF5F">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color w:val="000000"/>
                <w:sz w:val="24"/>
                <w:szCs w:val="24"/>
              </w:rPr>
              <w:t>子项</w:t>
            </w:r>
          </w:p>
        </w:tc>
        <w:tc>
          <w:tcPr>
            <w:tcW w:w="1518" w:type="dxa"/>
            <w:shd w:val="clear" w:color="auto" w:fill="D9D9D9"/>
            <w:vAlign w:val="center"/>
          </w:tcPr>
          <w:p w14:paraId="73295097">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color w:val="000000"/>
                <w:sz w:val="24"/>
                <w:szCs w:val="24"/>
              </w:rPr>
              <w:t>项目名称</w:t>
            </w:r>
          </w:p>
        </w:tc>
        <w:tc>
          <w:tcPr>
            <w:tcW w:w="1929" w:type="dxa"/>
            <w:shd w:val="clear" w:color="auto" w:fill="D9D9D9"/>
            <w:vAlign w:val="center"/>
          </w:tcPr>
          <w:p w14:paraId="6FDE9869">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color w:val="000000"/>
                <w:sz w:val="24"/>
                <w:szCs w:val="24"/>
              </w:rPr>
              <w:t>采购内容及规格要求</w:t>
            </w:r>
          </w:p>
        </w:tc>
        <w:tc>
          <w:tcPr>
            <w:tcW w:w="777" w:type="dxa"/>
            <w:shd w:val="clear" w:color="auto" w:fill="D9D9D9"/>
            <w:vAlign w:val="center"/>
          </w:tcPr>
          <w:p w14:paraId="2B761AA5">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color w:val="000000"/>
                <w:sz w:val="24"/>
                <w:szCs w:val="24"/>
              </w:rPr>
              <w:t>单位</w:t>
            </w:r>
          </w:p>
        </w:tc>
        <w:tc>
          <w:tcPr>
            <w:tcW w:w="696" w:type="dxa"/>
            <w:shd w:val="clear" w:color="auto" w:fill="D9D9D9"/>
            <w:vAlign w:val="center"/>
          </w:tcPr>
          <w:p w14:paraId="64034298">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color w:val="000000"/>
                <w:sz w:val="24"/>
                <w:szCs w:val="24"/>
              </w:rPr>
              <w:t>数量</w:t>
            </w:r>
          </w:p>
        </w:tc>
        <w:tc>
          <w:tcPr>
            <w:tcW w:w="1134" w:type="dxa"/>
            <w:shd w:val="clear" w:color="auto" w:fill="D9D9D9"/>
            <w:vAlign w:val="center"/>
          </w:tcPr>
          <w:p w14:paraId="0AFB79FA">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color w:val="000000"/>
                <w:sz w:val="24"/>
                <w:szCs w:val="24"/>
              </w:rPr>
              <w:t>限价（元）</w:t>
            </w:r>
          </w:p>
        </w:tc>
        <w:tc>
          <w:tcPr>
            <w:tcW w:w="1396" w:type="dxa"/>
            <w:shd w:val="clear" w:color="auto" w:fill="D9D9D9"/>
            <w:vAlign w:val="center"/>
          </w:tcPr>
          <w:p w14:paraId="3E456DE3">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color w:val="000000"/>
                <w:sz w:val="24"/>
                <w:szCs w:val="24"/>
              </w:rPr>
              <w:t>备注</w:t>
            </w:r>
          </w:p>
        </w:tc>
      </w:tr>
      <w:tr w14:paraId="77C16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13" w:type="dxa"/>
            <w:vAlign w:val="center"/>
          </w:tcPr>
          <w:p w14:paraId="535BCF96">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1</w:t>
            </w:r>
          </w:p>
        </w:tc>
        <w:tc>
          <w:tcPr>
            <w:tcW w:w="1171" w:type="dxa"/>
            <w:vAlign w:val="center"/>
          </w:tcPr>
          <w:p w14:paraId="33F3C9E5">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子项一</w:t>
            </w:r>
          </w:p>
        </w:tc>
        <w:tc>
          <w:tcPr>
            <w:tcW w:w="1518" w:type="dxa"/>
            <w:vAlign w:val="center"/>
          </w:tcPr>
          <w:p w14:paraId="57100F9F">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铁质烤漆大门（带安装）</w:t>
            </w:r>
          </w:p>
        </w:tc>
        <w:tc>
          <w:tcPr>
            <w:tcW w:w="1929" w:type="dxa"/>
            <w:vAlign w:val="center"/>
          </w:tcPr>
          <w:p w14:paraId="6C256B93">
            <w:pPr>
              <w:spacing w:before="0" w:after="0" w:line="276" w:lineRule="auto"/>
              <w:ind w:firstLine="0"/>
              <w:jc w:val="left"/>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杨林集镇站电动伸缩门损坏严重无法维修，需更换两扇铁质烤漆大门，总长5.93米、高2.5米</w:t>
            </w:r>
          </w:p>
        </w:tc>
        <w:tc>
          <w:tcPr>
            <w:tcW w:w="777" w:type="dxa"/>
            <w:vAlign w:val="center"/>
          </w:tcPr>
          <w:p w14:paraId="2DCB9977">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扇</w:t>
            </w:r>
          </w:p>
        </w:tc>
        <w:tc>
          <w:tcPr>
            <w:tcW w:w="696" w:type="dxa"/>
            <w:vAlign w:val="center"/>
          </w:tcPr>
          <w:p w14:paraId="40476374">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2</w:t>
            </w:r>
          </w:p>
        </w:tc>
        <w:tc>
          <w:tcPr>
            <w:tcW w:w="1134" w:type="dxa"/>
            <w:vAlign w:val="center"/>
          </w:tcPr>
          <w:p w14:paraId="78AED663">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7000</w:t>
            </w:r>
          </w:p>
        </w:tc>
        <w:tc>
          <w:tcPr>
            <w:tcW w:w="1396" w:type="dxa"/>
            <w:vAlign w:val="center"/>
          </w:tcPr>
          <w:p w14:paraId="141E0814">
            <w:pPr>
              <w:spacing w:before="0" w:after="0" w:line="276" w:lineRule="auto"/>
              <w:ind w:firstLine="0"/>
              <w:jc w:val="left"/>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含安装调试；送货地点：</w:t>
            </w:r>
            <w:r>
              <w:rPr>
                <w:rFonts w:hint="eastAsia" w:ascii="仿宋_GB2312" w:hAnsi="仿宋_GB2312" w:eastAsia="仿宋_GB2312" w:cs="仿宋_GB2312"/>
                <w:b w:val="0"/>
                <w:color w:val="000000"/>
                <w:sz w:val="24"/>
                <w:szCs w:val="24"/>
                <w:lang w:val="en-US" w:eastAsia="zh-CN"/>
              </w:rPr>
              <w:t>嵩明</w:t>
            </w:r>
            <w:r>
              <w:rPr>
                <w:rFonts w:hint="eastAsia" w:ascii="仿宋_GB2312" w:hAnsi="仿宋_GB2312" w:eastAsia="仿宋_GB2312" w:cs="仿宋_GB2312"/>
                <w:b w:val="0"/>
                <w:color w:val="000000"/>
                <w:sz w:val="24"/>
                <w:szCs w:val="24"/>
              </w:rPr>
              <w:t>杨林站</w:t>
            </w:r>
          </w:p>
        </w:tc>
      </w:tr>
      <w:tr w14:paraId="58ACB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13" w:type="dxa"/>
            <w:vAlign w:val="center"/>
          </w:tcPr>
          <w:p w14:paraId="571F7741">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2</w:t>
            </w:r>
          </w:p>
        </w:tc>
        <w:tc>
          <w:tcPr>
            <w:tcW w:w="1171" w:type="dxa"/>
            <w:vAlign w:val="center"/>
          </w:tcPr>
          <w:p w14:paraId="3A9E195A">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子项二</w:t>
            </w:r>
          </w:p>
        </w:tc>
        <w:tc>
          <w:tcPr>
            <w:tcW w:w="1518" w:type="dxa"/>
            <w:vAlign w:val="center"/>
          </w:tcPr>
          <w:p w14:paraId="14026E16">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钢制围栏及平台（带安装）</w:t>
            </w:r>
          </w:p>
        </w:tc>
        <w:tc>
          <w:tcPr>
            <w:tcW w:w="1929" w:type="dxa"/>
            <w:vAlign w:val="center"/>
          </w:tcPr>
          <w:p w14:paraId="1740041D">
            <w:pPr>
              <w:spacing w:before="0" w:after="0" w:line="276" w:lineRule="auto"/>
              <w:ind w:firstLine="0"/>
              <w:jc w:val="left"/>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五华区西北沙河污水处理站出水流量槽外平台采用钢制或树脂材料更换，平台长约3.65米、宽约2.8米，面积约10.5平方米；围栏长约10米（需开约1米宽门）</w:t>
            </w:r>
          </w:p>
        </w:tc>
        <w:tc>
          <w:tcPr>
            <w:tcW w:w="777" w:type="dxa"/>
            <w:vAlign w:val="center"/>
          </w:tcPr>
          <w:p w14:paraId="49B98424">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项</w:t>
            </w:r>
          </w:p>
        </w:tc>
        <w:tc>
          <w:tcPr>
            <w:tcW w:w="696" w:type="dxa"/>
            <w:vAlign w:val="center"/>
          </w:tcPr>
          <w:p w14:paraId="55704658">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1</w:t>
            </w:r>
          </w:p>
        </w:tc>
        <w:tc>
          <w:tcPr>
            <w:tcW w:w="1134" w:type="dxa"/>
            <w:vAlign w:val="center"/>
          </w:tcPr>
          <w:p w14:paraId="7C4FE100">
            <w:pPr>
              <w:spacing w:before="0" w:after="0" w:line="276" w:lineRule="auto"/>
              <w:ind w:firstLine="0"/>
              <w:jc w:val="center"/>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1</w:t>
            </w:r>
            <w:r>
              <w:rPr>
                <w:rFonts w:hint="eastAsia" w:ascii="仿宋_GB2312" w:hAnsi="仿宋_GB2312" w:eastAsia="仿宋_GB2312" w:cs="仿宋_GB2312"/>
                <w:b w:val="0"/>
                <w:color w:val="000000"/>
                <w:sz w:val="24"/>
                <w:szCs w:val="24"/>
                <w:lang w:val="en-US" w:eastAsia="zh-CN"/>
              </w:rPr>
              <w:t>1</w:t>
            </w:r>
            <w:r>
              <w:rPr>
                <w:rFonts w:hint="eastAsia" w:ascii="仿宋_GB2312" w:hAnsi="仿宋_GB2312" w:eastAsia="仿宋_GB2312" w:cs="仿宋_GB2312"/>
                <w:b w:val="0"/>
                <w:color w:val="000000"/>
                <w:sz w:val="24"/>
                <w:szCs w:val="24"/>
              </w:rPr>
              <w:t>000</w:t>
            </w:r>
          </w:p>
        </w:tc>
        <w:tc>
          <w:tcPr>
            <w:tcW w:w="1396" w:type="dxa"/>
            <w:vAlign w:val="center"/>
          </w:tcPr>
          <w:p w14:paraId="688BEF6B">
            <w:pPr>
              <w:spacing w:before="0" w:after="0" w:line="276" w:lineRule="auto"/>
              <w:ind w:firstLine="0"/>
              <w:jc w:val="left"/>
              <w:rPr>
                <w:rFonts w:hint="eastAsia" w:ascii="仿宋_GB2312" w:hAnsi="仿宋_GB2312" w:eastAsia="仿宋_GB2312" w:cs="仿宋_GB2312"/>
                <w:sz w:val="24"/>
                <w:szCs w:val="24"/>
              </w:rPr>
            </w:pPr>
            <w:r>
              <w:rPr>
                <w:rFonts w:hint="eastAsia" w:ascii="仿宋_GB2312" w:hAnsi="仿宋_GB2312" w:eastAsia="仿宋_GB2312" w:cs="仿宋_GB2312"/>
                <w:b w:val="0"/>
                <w:color w:val="000000"/>
                <w:sz w:val="24"/>
                <w:szCs w:val="24"/>
              </w:rPr>
              <w:t>含安装调试；送货地点：西北沙河站</w:t>
            </w:r>
          </w:p>
        </w:tc>
      </w:tr>
    </w:tbl>
    <w:p w14:paraId="77AF6D4D">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left"/>
        <w:textAlignment w:val="auto"/>
        <w:rPr>
          <w:rFonts w:hint="eastAsia" w:ascii="Times New Roman" w:hAnsi="Times New Roman" w:eastAsia="黑体" w:cs="黑体"/>
          <w:b w:val="0"/>
          <w:color w:val="auto"/>
          <w:sz w:val="32"/>
          <w:szCs w:val="32"/>
          <w:lang w:val="en-US" w:eastAsia="zh-CN"/>
        </w:rPr>
      </w:pPr>
      <w:r>
        <w:rPr>
          <w:rFonts w:hint="eastAsia" w:ascii="Times New Roman" w:hAnsi="Times New Roman" w:eastAsia="黑体" w:cs="黑体"/>
          <w:b w:val="0"/>
          <w:color w:val="auto"/>
          <w:sz w:val="32"/>
          <w:szCs w:val="32"/>
          <w:lang w:val="en-US" w:eastAsia="zh-CN"/>
        </w:rPr>
        <w:t>2</w:t>
      </w:r>
      <w:r>
        <w:rPr>
          <w:rFonts w:hint="eastAsia" w:eastAsia="黑体" w:cs="黑体"/>
          <w:b w:val="0"/>
          <w:color w:val="auto"/>
          <w:sz w:val="32"/>
          <w:szCs w:val="32"/>
          <w:lang w:val="en-US" w:eastAsia="zh-CN"/>
        </w:rPr>
        <w:t>.</w:t>
      </w:r>
      <w:r>
        <w:rPr>
          <w:rFonts w:hint="eastAsia" w:ascii="Times New Roman" w:hAnsi="Times New Roman" w:eastAsia="黑体" w:cs="黑体"/>
          <w:b w:val="0"/>
          <w:color w:val="auto"/>
          <w:sz w:val="32"/>
          <w:szCs w:val="32"/>
          <w:lang w:val="en-US" w:eastAsia="zh-CN"/>
        </w:rPr>
        <w:t>资格要求</w:t>
      </w:r>
    </w:p>
    <w:p w14:paraId="491821A3">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color w:val="auto"/>
          <w:sz w:val="32"/>
        </w:rPr>
      </w:pPr>
      <w:r>
        <w:rPr>
          <w:rFonts w:ascii="Times New Roman" w:hAnsi="Times New Roman" w:eastAsia="仿宋_GB2312"/>
          <w:b w:val="0"/>
          <w:color w:val="auto"/>
          <w:sz w:val="32"/>
        </w:rPr>
        <w:t>2.1 投标人具有国家工商行政管理部门登记注册持有有效的营业执照、税务登记证、组织机构代码证或三证合一证件，具备独立的法人资格。</w:t>
      </w:r>
    </w:p>
    <w:p w14:paraId="2E3F4DF2">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2.</w:t>
      </w:r>
      <w:r>
        <w:rPr>
          <w:rFonts w:hint="eastAsia" w:eastAsia="仿宋_GB2312"/>
          <w:b w:val="0"/>
          <w:bCs/>
          <w:color w:val="auto"/>
          <w:sz w:val="32"/>
          <w:lang w:val="en-US" w:eastAsia="zh-CN"/>
        </w:rPr>
        <w:t>2</w:t>
      </w:r>
      <w:r>
        <w:rPr>
          <w:rFonts w:ascii="Times New Roman" w:hAnsi="Times New Roman" w:eastAsia="仿宋_GB2312"/>
          <w:b w:val="0"/>
          <w:bCs/>
          <w:color w:val="auto"/>
          <w:sz w:val="32"/>
        </w:rPr>
        <w:t xml:space="preserve"> 参与报价的单位信誉良好，没有处于被责令停业，投标资格被取消，财产被接管、冻结、破产状态。报价单位当前未被列入“信用中国（http://www.creditchina.gov.cn）”失信被执行人名单</w:t>
      </w:r>
      <w:r>
        <w:rPr>
          <w:rFonts w:ascii="Times New Roman" w:hAnsi="Times New Roman" w:eastAsia="仿宋_GB2312"/>
          <w:b/>
          <w:bCs w:val="0"/>
          <w:color w:val="auto"/>
          <w:sz w:val="32"/>
        </w:rPr>
        <w:t>（提供“信用中国”网站查询截图）</w:t>
      </w:r>
      <w:r>
        <w:rPr>
          <w:rFonts w:ascii="Times New Roman" w:hAnsi="Times New Roman" w:eastAsia="仿宋_GB2312"/>
          <w:b w:val="0"/>
          <w:bCs/>
          <w:color w:val="auto"/>
          <w:sz w:val="32"/>
        </w:rPr>
        <w:t>。</w:t>
      </w:r>
    </w:p>
    <w:p w14:paraId="4392328F">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ascii="Times New Roman" w:hAnsi="Times New Roman" w:eastAsia="黑体" w:cs="黑体"/>
          <w:b w:val="0"/>
          <w:color w:val="auto"/>
          <w:sz w:val="32"/>
          <w:szCs w:val="32"/>
          <w:lang w:val="en-US" w:eastAsia="zh-CN"/>
        </w:rPr>
        <w:t>3. 质量要求</w:t>
      </w:r>
    </w:p>
    <w:p w14:paraId="0B296161">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3.1 采购货物须为全新合格产品，规格、材质、尺寸符合本公告及采购清单要求，符合国家现行相关标准及规范要求，并随货提供产品合格证明等质量文件；竞标人应确保一次验收合格，项目验收合格前的风险及费用均由竞标人承担。</w:t>
      </w:r>
    </w:p>
    <w:p w14:paraId="3CCFB42D">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3.2 质保期：验收合格后整体质保</w:t>
      </w:r>
      <w:r>
        <w:rPr>
          <w:rFonts w:hint="eastAsia" w:eastAsia="仿宋_GB2312"/>
          <w:b w:val="0"/>
          <w:bCs/>
          <w:color w:val="auto"/>
          <w:sz w:val="32"/>
          <w:lang w:val="en-US" w:eastAsia="zh-CN"/>
        </w:rPr>
        <w:t>1</w:t>
      </w:r>
      <w:r>
        <w:rPr>
          <w:rFonts w:ascii="Times New Roman" w:hAnsi="Times New Roman" w:eastAsia="仿宋_GB2312"/>
          <w:b w:val="0"/>
          <w:bCs/>
          <w:color w:val="auto"/>
          <w:sz w:val="32"/>
        </w:rPr>
        <w:t>年。</w:t>
      </w:r>
    </w:p>
    <w:p w14:paraId="2F458E15">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ascii="Times New Roman" w:hAnsi="Times New Roman" w:eastAsia="黑体" w:cs="黑体"/>
          <w:b w:val="0"/>
          <w:color w:val="auto"/>
          <w:sz w:val="32"/>
          <w:szCs w:val="32"/>
          <w:lang w:val="en-US" w:eastAsia="zh-CN"/>
        </w:rPr>
        <w:t>4. 报价要求</w:t>
      </w:r>
    </w:p>
    <w:p w14:paraId="4C02D691">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报价申请人的报价包含税金、运输、保险、人工、机械、材料、安装调试、检验、配合验收等为完成本项目发生的所有费用，以及</w:t>
      </w:r>
      <w:bookmarkStart w:id="0" w:name="_GoBack"/>
      <w:bookmarkEnd w:id="0"/>
      <w:r>
        <w:rPr>
          <w:rFonts w:ascii="Times New Roman" w:hAnsi="Times New Roman" w:eastAsia="仿宋_GB2312"/>
          <w:b w:val="0"/>
          <w:bCs/>
          <w:color w:val="auto"/>
          <w:sz w:val="32"/>
        </w:rPr>
        <w:t>报价申请人认为有必要计入的其他费用。本次采购两个子项分别报价</w:t>
      </w:r>
      <w:r>
        <w:rPr>
          <w:rFonts w:hint="eastAsia" w:eastAsia="仿宋_GB2312"/>
          <w:b w:val="0"/>
          <w:bCs/>
          <w:color w:val="auto"/>
          <w:sz w:val="32"/>
          <w:lang w:eastAsia="zh-CN"/>
        </w:rPr>
        <w:t>，</w:t>
      </w:r>
      <w:r>
        <w:rPr>
          <w:rFonts w:ascii="Times New Roman" w:hAnsi="Times New Roman" w:eastAsia="仿宋_GB2312"/>
          <w:b w:val="0"/>
          <w:bCs/>
          <w:color w:val="auto"/>
          <w:sz w:val="32"/>
        </w:rPr>
        <w:t>各子项报价不得超过对应子项限价，超过限价的报价作废标处理。</w:t>
      </w:r>
    </w:p>
    <w:p w14:paraId="6B6D5820">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ascii="Times New Roman" w:hAnsi="Times New Roman" w:eastAsia="黑体" w:cs="黑体"/>
          <w:b w:val="0"/>
          <w:color w:val="auto"/>
          <w:sz w:val="32"/>
          <w:szCs w:val="32"/>
          <w:lang w:val="en-US" w:eastAsia="zh-CN"/>
        </w:rPr>
        <w:t>5. 报价文件份数及密封要求</w:t>
      </w:r>
    </w:p>
    <w:p w14:paraId="721215F2">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纸质报价文件一式两份，且按要求在需要盖的地方加盖鲜章。报价文件应密封。</w:t>
      </w:r>
    </w:p>
    <w:p w14:paraId="01BFFB80">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ascii="Times New Roman" w:hAnsi="Times New Roman" w:eastAsia="黑体" w:cs="黑体"/>
          <w:b w:val="0"/>
          <w:color w:val="auto"/>
          <w:sz w:val="32"/>
          <w:szCs w:val="32"/>
          <w:lang w:val="en-US" w:eastAsia="zh-CN"/>
        </w:rPr>
        <w:t>6. 报价文件的组成</w:t>
      </w:r>
    </w:p>
    <w:p w14:paraId="1C2DD91C">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报价文件由：报价表（格式可自拟，须分别列明子项一、子项二报价）、企业工商营业执照、相关资格证书及相应承诺的有效复印件以及各报价人认为应该提供的其他相关文件。</w:t>
      </w:r>
    </w:p>
    <w:p w14:paraId="3FE21162">
      <w:pPr>
        <w:numPr>
          <w:ilvl w:val="0"/>
          <w:numId w:val="8"/>
        </w:numPr>
        <w:tabs>
          <w:tab w:val="left" w:pos="7590"/>
        </w:tabs>
        <w:spacing w:line="560" w:lineRule="exact"/>
        <w:ind w:firstLine="640" w:firstLineChars="200"/>
        <w:jc w:val="both"/>
        <w:outlineLvl w:val="0"/>
        <w:rPr>
          <w:rFonts w:eastAsia="黑体"/>
          <w:bCs/>
          <w:color w:val="000000"/>
          <w:sz w:val="32"/>
          <w:szCs w:val="32"/>
        </w:rPr>
      </w:pPr>
      <w:r>
        <w:rPr>
          <w:rFonts w:eastAsia="黑体"/>
          <w:bCs/>
          <w:color w:val="000000"/>
          <w:sz w:val="32"/>
          <w:szCs w:val="32"/>
        </w:rPr>
        <w:t>询价比选申请文件获取</w:t>
      </w:r>
    </w:p>
    <w:p w14:paraId="7A66AE23">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eastAsia="仿宋_GB2312"/>
          <w:sz w:val="32"/>
          <w:szCs w:val="32"/>
        </w:rPr>
        <w:t>凡有意参加询价者，请于2026年</w:t>
      </w:r>
      <w:r>
        <w:rPr>
          <w:rFonts w:hint="eastAsia" w:eastAsia="仿宋_GB2312"/>
          <w:sz w:val="32"/>
          <w:szCs w:val="32"/>
        </w:rPr>
        <w:t>9</w:t>
      </w:r>
      <w:r>
        <w:rPr>
          <w:rFonts w:eastAsia="仿宋_GB2312"/>
          <w:sz w:val="32"/>
          <w:szCs w:val="32"/>
        </w:rPr>
        <w:t>月</w:t>
      </w:r>
      <w:r>
        <w:rPr>
          <w:rFonts w:hint="eastAsia" w:eastAsia="仿宋_GB2312"/>
          <w:sz w:val="32"/>
          <w:szCs w:val="32"/>
          <w:lang w:val="en-US" w:eastAsia="zh-CN"/>
        </w:rPr>
        <w:t>23</w:t>
      </w:r>
      <w:r>
        <w:rPr>
          <w:rFonts w:hint="eastAsia" w:eastAsia="仿宋_GB2312"/>
          <w:sz w:val="32"/>
          <w:szCs w:val="32"/>
        </w:rPr>
        <w:t>日</w:t>
      </w:r>
      <w:r>
        <w:rPr>
          <w:rFonts w:hint="eastAsia" w:eastAsia="仿宋_GB2312"/>
          <w:sz w:val="32"/>
          <w:szCs w:val="32"/>
          <w:lang w:val="en-US" w:eastAsia="zh-CN"/>
        </w:rPr>
        <w:t>、9月24日、9月28、9月29日</w:t>
      </w:r>
      <w:r>
        <w:rPr>
          <w:rFonts w:eastAsia="仿宋_GB2312"/>
          <w:sz w:val="32"/>
          <w:szCs w:val="32"/>
        </w:rPr>
        <w:t>9时至17时，到昆明城市污水处理运营有限责任公司</w:t>
      </w:r>
      <w:r>
        <w:rPr>
          <w:rFonts w:hint="eastAsia" w:eastAsia="仿宋_GB2312"/>
          <w:sz w:val="32"/>
          <w:szCs w:val="32"/>
          <w:lang w:val="en-US" w:eastAsia="zh-CN"/>
        </w:rPr>
        <w:t>集镇设施管理中心办公室</w:t>
      </w:r>
      <w:r>
        <w:rPr>
          <w:rFonts w:eastAsia="仿宋_GB2312"/>
          <w:sz w:val="32"/>
          <w:szCs w:val="32"/>
        </w:rPr>
        <w:t>获取。本次询价采购文件售价0元/份。</w:t>
      </w:r>
    </w:p>
    <w:p w14:paraId="4F2A07C2">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eastAsia="黑体" w:cs="黑体"/>
          <w:b w:val="0"/>
          <w:color w:val="auto"/>
          <w:sz w:val="32"/>
          <w:szCs w:val="32"/>
          <w:lang w:val="en-US" w:eastAsia="zh-CN"/>
        </w:rPr>
        <w:t>8</w:t>
      </w:r>
      <w:r>
        <w:rPr>
          <w:rFonts w:hint="eastAsia" w:ascii="Times New Roman" w:hAnsi="Times New Roman" w:eastAsia="黑体" w:cs="黑体"/>
          <w:b w:val="0"/>
          <w:color w:val="auto"/>
          <w:sz w:val="32"/>
          <w:szCs w:val="32"/>
          <w:lang w:val="en-US" w:eastAsia="zh-CN"/>
        </w:rPr>
        <w:t>. 评标办法</w:t>
      </w:r>
    </w:p>
    <w:p w14:paraId="7766E6D4">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hint="eastAsia" w:eastAsia="仿宋_GB2312"/>
          <w:b w:val="0"/>
          <w:bCs/>
          <w:color w:val="auto"/>
          <w:sz w:val="32"/>
          <w:lang w:val="en-US" w:eastAsia="zh-CN"/>
        </w:rPr>
        <w:t>8</w:t>
      </w:r>
      <w:r>
        <w:rPr>
          <w:rFonts w:ascii="Times New Roman" w:hAnsi="Times New Roman" w:eastAsia="仿宋_GB2312"/>
          <w:b w:val="0"/>
          <w:bCs/>
          <w:color w:val="auto"/>
          <w:sz w:val="32"/>
        </w:rPr>
        <w:t>.1 评审小组首先对竞标人的资质条件和报价文件的有效性进行评审，符合比选公告要求的给予符合性通过，不符合比选公告要求的报价文件定为废标。</w:t>
      </w:r>
    </w:p>
    <w:p w14:paraId="018E7140">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hint="eastAsia" w:eastAsia="仿宋_GB2312"/>
          <w:b w:val="0"/>
          <w:bCs/>
          <w:color w:val="auto"/>
          <w:sz w:val="32"/>
          <w:lang w:val="en-US" w:eastAsia="zh-CN"/>
        </w:rPr>
        <w:t>8</w:t>
      </w:r>
      <w:r>
        <w:rPr>
          <w:rFonts w:ascii="Times New Roman" w:hAnsi="Times New Roman" w:eastAsia="仿宋_GB2312"/>
          <w:b w:val="0"/>
          <w:bCs/>
          <w:color w:val="auto"/>
          <w:sz w:val="32"/>
        </w:rPr>
        <w:t>.2 本次比选采用经评审的最低投标价法（低价中标）：在通过符合性审查的前提下，按最终有效报价由低到高的顺序推荐成交候选人，报价最低者为第一成交候选人。</w:t>
      </w:r>
    </w:p>
    <w:p w14:paraId="3C3BDA31">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hint="eastAsia" w:eastAsia="仿宋_GB2312"/>
          <w:b w:val="0"/>
          <w:bCs/>
          <w:color w:val="auto"/>
          <w:sz w:val="32"/>
          <w:lang w:val="en-US" w:eastAsia="zh-CN"/>
        </w:rPr>
        <w:t>8</w:t>
      </w:r>
      <w:r>
        <w:rPr>
          <w:rFonts w:ascii="Times New Roman" w:hAnsi="Times New Roman" w:eastAsia="仿宋_GB2312"/>
          <w:b w:val="0"/>
          <w:bCs/>
          <w:color w:val="auto"/>
          <w:sz w:val="32"/>
        </w:rPr>
        <w:t>.</w:t>
      </w:r>
      <w:r>
        <w:rPr>
          <w:rFonts w:hint="eastAsia" w:eastAsia="仿宋_GB2312"/>
          <w:b w:val="0"/>
          <w:bCs/>
          <w:color w:val="auto"/>
          <w:sz w:val="32"/>
          <w:lang w:val="en-US" w:eastAsia="zh-CN"/>
        </w:rPr>
        <w:t>3</w:t>
      </w:r>
      <w:r>
        <w:rPr>
          <w:rFonts w:ascii="Times New Roman" w:hAnsi="Times New Roman" w:eastAsia="仿宋_GB2312"/>
          <w:b w:val="0"/>
          <w:bCs/>
          <w:color w:val="auto"/>
          <w:sz w:val="32"/>
        </w:rPr>
        <w:t xml:space="preserve"> 经评审小组评审，认为所有报价文件均不符合比选公告要求或形不成竞争时，可以否决所有报价，采购人应当依法重新比选。如实质性响应比选公告要求的供应商不足3家时，评审小组认为其仍可满足采购要求具有竞争性的，由评审小组对各报价文件进行综合评议推荐成交候选人。</w:t>
      </w:r>
    </w:p>
    <w:p w14:paraId="64F817B0">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eastAsia="黑体" w:cs="黑体"/>
          <w:b w:val="0"/>
          <w:color w:val="auto"/>
          <w:sz w:val="32"/>
          <w:szCs w:val="32"/>
          <w:lang w:val="en-US" w:eastAsia="zh-CN"/>
        </w:rPr>
        <w:t>9</w:t>
      </w:r>
      <w:r>
        <w:rPr>
          <w:rFonts w:hint="eastAsia" w:ascii="Times New Roman" w:hAnsi="Times New Roman" w:eastAsia="黑体" w:cs="黑体"/>
          <w:b w:val="0"/>
          <w:color w:val="auto"/>
          <w:sz w:val="32"/>
          <w:szCs w:val="32"/>
          <w:lang w:val="en-US" w:eastAsia="zh-CN"/>
        </w:rPr>
        <w:t>. 发布公告的媒介</w:t>
      </w:r>
    </w:p>
    <w:p w14:paraId="138FDE14">
      <w:pPr>
        <w:keepNext w:val="0"/>
        <w:keepLines w:val="0"/>
        <w:pageBreakBefore w:val="0"/>
        <w:widowControl/>
        <w:kinsoku/>
        <w:wordWrap/>
        <w:overflowPunct/>
        <w:topLinePunct w:val="0"/>
        <w:autoSpaceDE/>
        <w:autoSpaceDN/>
        <w:bidi w:val="0"/>
        <w:adjustRightInd/>
        <w:snapToGrid/>
        <w:spacing w:line="580" w:lineRule="exact"/>
        <w:ind w:firstLine="560" w:firstLineChars="200"/>
        <w:jc w:val="both"/>
        <w:textAlignment w:val="auto"/>
        <w:rPr>
          <w:rFonts w:eastAsia="仿宋_GB2312"/>
          <w:bCs/>
          <w:sz w:val="32"/>
          <w:szCs w:val="32"/>
        </w:rPr>
      </w:pPr>
      <w:r>
        <w:rPr>
          <w:rFonts w:eastAsia="仿宋_GB2312"/>
          <w:bCs/>
          <w:spacing w:val="-20"/>
          <w:sz w:val="32"/>
          <w:szCs w:val="32"/>
        </w:rPr>
        <w:t>本次比选公告在昆明滇池水务股份有限公司（www.kmdcwt.com）网站发布，</w:t>
      </w:r>
      <w:r>
        <w:rPr>
          <w:rFonts w:eastAsia="仿宋_GB2312"/>
          <w:bCs/>
          <w:sz w:val="32"/>
          <w:szCs w:val="32"/>
        </w:rPr>
        <w:t>采购人对其他网站或媒体转载的公告及公告内容不承担任何责任。</w:t>
      </w:r>
    </w:p>
    <w:p w14:paraId="20045CF4">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eastAsia="黑体" w:cs="黑体"/>
          <w:b w:val="0"/>
          <w:color w:val="auto"/>
          <w:sz w:val="32"/>
          <w:szCs w:val="32"/>
          <w:lang w:val="en-US" w:eastAsia="zh-CN"/>
        </w:rPr>
        <w:t>10</w:t>
      </w:r>
      <w:r>
        <w:rPr>
          <w:rFonts w:hint="eastAsia" w:ascii="Times New Roman" w:hAnsi="Times New Roman" w:eastAsia="黑体" w:cs="黑体"/>
          <w:b w:val="0"/>
          <w:color w:val="auto"/>
          <w:sz w:val="32"/>
          <w:szCs w:val="32"/>
          <w:lang w:val="en-US" w:eastAsia="zh-CN"/>
        </w:rPr>
        <w:t>. 签约、履约</w:t>
      </w:r>
    </w:p>
    <w:p w14:paraId="1245D3A5">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hint="eastAsia" w:eastAsia="仿宋_GB2312"/>
          <w:b w:val="0"/>
          <w:bCs/>
          <w:color w:val="auto"/>
          <w:sz w:val="32"/>
          <w:lang w:val="en-US" w:eastAsia="zh-CN"/>
        </w:rPr>
        <w:t>10</w:t>
      </w:r>
      <w:r>
        <w:rPr>
          <w:rFonts w:ascii="Times New Roman" w:hAnsi="Times New Roman" w:eastAsia="仿宋_GB2312"/>
          <w:b w:val="0"/>
          <w:bCs/>
          <w:color w:val="auto"/>
          <w:sz w:val="32"/>
        </w:rPr>
        <w:t>.1 中标方不得将中标项目转让给他人，也不得将中标项目</w:t>
      </w:r>
      <w:r>
        <w:rPr>
          <w:rFonts w:hint="eastAsia" w:eastAsia="仿宋_GB2312"/>
          <w:b w:val="0"/>
          <w:bCs/>
          <w:color w:val="auto"/>
          <w:sz w:val="32"/>
          <w:lang w:val="en-US" w:eastAsia="zh-CN"/>
        </w:rPr>
        <w:t>分</w:t>
      </w:r>
      <w:r>
        <w:rPr>
          <w:rFonts w:ascii="Times New Roman" w:hAnsi="Times New Roman" w:eastAsia="仿宋_GB2312"/>
          <w:b w:val="0"/>
          <w:bCs/>
          <w:color w:val="auto"/>
          <w:sz w:val="32"/>
        </w:rPr>
        <w:t>解后转让给他人。</w:t>
      </w:r>
    </w:p>
    <w:p w14:paraId="08270B3A">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hint="eastAsia" w:eastAsia="仿宋_GB2312"/>
          <w:b w:val="0"/>
          <w:bCs/>
          <w:color w:val="auto"/>
          <w:sz w:val="32"/>
          <w:lang w:val="en-US" w:eastAsia="zh-CN"/>
        </w:rPr>
        <w:t>10</w:t>
      </w:r>
      <w:r>
        <w:rPr>
          <w:rFonts w:ascii="Times New Roman" w:hAnsi="Times New Roman" w:eastAsia="仿宋_GB2312"/>
          <w:b w:val="0"/>
          <w:bCs/>
          <w:color w:val="auto"/>
          <w:sz w:val="32"/>
        </w:rPr>
        <w:t>.2 收到中标通知后，采购人和中标方应当自中标通知书发出之日起30天内签订合同，中标人无正当理由拒签合同的，采购人取消其中标资格，给采购人造成损失的，中标人还应当予以赔偿。</w:t>
      </w:r>
    </w:p>
    <w:p w14:paraId="5822AA46">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hint="eastAsia" w:eastAsia="仿宋_GB2312"/>
          <w:b w:val="0"/>
          <w:bCs/>
          <w:color w:val="auto"/>
          <w:sz w:val="32"/>
          <w:lang w:val="en-US" w:eastAsia="zh-CN"/>
        </w:rPr>
        <w:t>10</w:t>
      </w:r>
      <w:r>
        <w:rPr>
          <w:rFonts w:ascii="Times New Roman" w:hAnsi="Times New Roman" w:eastAsia="仿宋_GB2312"/>
          <w:b w:val="0"/>
          <w:bCs/>
          <w:color w:val="auto"/>
          <w:sz w:val="32"/>
        </w:rPr>
        <w:t>.3 合同签订后，合作双方应严格按合同履行。</w:t>
      </w:r>
    </w:p>
    <w:p w14:paraId="323E0B16">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ascii="Times New Roman" w:hAnsi="Times New Roman" w:eastAsia="黑体" w:cs="黑体"/>
          <w:b w:val="0"/>
          <w:color w:val="auto"/>
          <w:sz w:val="32"/>
          <w:szCs w:val="32"/>
          <w:lang w:val="en-US" w:eastAsia="zh-CN"/>
        </w:rPr>
        <w:t>1</w:t>
      </w:r>
      <w:r>
        <w:rPr>
          <w:rFonts w:hint="eastAsia" w:eastAsia="黑体" w:cs="黑体"/>
          <w:b w:val="0"/>
          <w:color w:val="auto"/>
          <w:sz w:val="32"/>
          <w:szCs w:val="32"/>
          <w:lang w:val="en-US" w:eastAsia="zh-CN"/>
        </w:rPr>
        <w:t>1</w:t>
      </w:r>
      <w:r>
        <w:rPr>
          <w:rFonts w:hint="eastAsia" w:ascii="Times New Roman" w:hAnsi="Times New Roman" w:eastAsia="黑体" w:cs="黑体"/>
          <w:b w:val="0"/>
          <w:color w:val="auto"/>
          <w:sz w:val="32"/>
          <w:szCs w:val="32"/>
          <w:lang w:val="en-US" w:eastAsia="zh-CN"/>
        </w:rPr>
        <w:t>. 报价文件的递交</w:t>
      </w:r>
    </w:p>
    <w:p w14:paraId="0559511D">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如有单位确认参与，请在2026年9月</w:t>
      </w:r>
      <w:r>
        <w:rPr>
          <w:rFonts w:hint="eastAsia" w:eastAsia="仿宋_GB2312"/>
          <w:b w:val="0"/>
          <w:bCs/>
          <w:color w:val="auto"/>
          <w:sz w:val="32"/>
          <w:lang w:val="en-US" w:eastAsia="zh-CN"/>
        </w:rPr>
        <w:t>30</w:t>
      </w:r>
      <w:r>
        <w:rPr>
          <w:rFonts w:ascii="Times New Roman" w:hAnsi="Times New Roman" w:eastAsia="仿宋_GB2312"/>
          <w:b w:val="0"/>
          <w:bCs/>
          <w:color w:val="auto"/>
          <w:sz w:val="32"/>
        </w:rPr>
        <w:t>日14时前以送达的方式送至昆明城市污水处理运营有限责任公司</w:t>
      </w:r>
      <w:r>
        <w:rPr>
          <w:rFonts w:hint="eastAsia" w:eastAsia="仿宋_GB2312"/>
          <w:b w:val="0"/>
          <w:bCs/>
          <w:color w:val="auto"/>
          <w:sz w:val="32"/>
          <w:lang w:val="en-US" w:eastAsia="zh-CN"/>
        </w:rPr>
        <w:t>集镇设施管理中心305办公室</w:t>
      </w:r>
      <w:r>
        <w:rPr>
          <w:rFonts w:ascii="Times New Roman" w:hAnsi="Times New Roman" w:eastAsia="仿宋_GB2312"/>
          <w:b w:val="0"/>
          <w:bCs/>
          <w:color w:val="auto"/>
          <w:sz w:val="32"/>
        </w:rPr>
        <w:t>（地址：云南省昆明市官南大道2288号第二水质净化厂）。</w:t>
      </w:r>
    </w:p>
    <w:p w14:paraId="208662FB">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right="0" w:rightChars="0" w:firstLine="640" w:firstLineChars="200"/>
        <w:jc w:val="both"/>
        <w:textAlignment w:val="auto"/>
        <w:rPr>
          <w:rFonts w:hint="eastAsia" w:ascii="Times New Roman" w:hAnsi="Times New Roman" w:eastAsia="黑体" w:cs="黑体"/>
          <w:b w:val="0"/>
          <w:color w:val="auto"/>
          <w:sz w:val="32"/>
          <w:szCs w:val="32"/>
          <w:lang w:val="en-US" w:eastAsia="zh-CN"/>
        </w:rPr>
      </w:pPr>
      <w:r>
        <w:rPr>
          <w:rFonts w:hint="eastAsia" w:ascii="Times New Roman" w:hAnsi="Times New Roman" w:eastAsia="黑体" w:cs="黑体"/>
          <w:b w:val="0"/>
          <w:color w:val="auto"/>
          <w:sz w:val="32"/>
          <w:szCs w:val="32"/>
          <w:lang w:val="en-US" w:eastAsia="zh-CN"/>
        </w:rPr>
        <w:t>1</w:t>
      </w:r>
      <w:r>
        <w:rPr>
          <w:rFonts w:hint="eastAsia" w:eastAsia="黑体" w:cs="黑体"/>
          <w:b w:val="0"/>
          <w:color w:val="auto"/>
          <w:sz w:val="32"/>
          <w:szCs w:val="32"/>
          <w:lang w:val="en-US" w:eastAsia="zh-CN"/>
        </w:rPr>
        <w:t>2</w:t>
      </w:r>
      <w:r>
        <w:rPr>
          <w:rFonts w:hint="eastAsia" w:ascii="Times New Roman" w:hAnsi="Times New Roman" w:eastAsia="黑体" w:cs="黑体"/>
          <w:b w:val="0"/>
          <w:color w:val="auto"/>
          <w:sz w:val="32"/>
          <w:szCs w:val="32"/>
          <w:lang w:val="en-US" w:eastAsia="zh-CN"/>
        </w:rPr>
        <w:t>. 联系方式</w:t>
      </w:r>
    </w:p>
    <w:p w14:paraId="5582F025">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单位名称：昆明城市污水处理运营有限责任公司</w:t>
      </w:r>
    </w:p>
    <w:p w14:paraId="510CFB99">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b w:val="0"/>
          <w:bCs/>
          <w:color w:val="auto"/>
          <w:sz w:val="32"/>
          <w:lang w:val="en-US" w:eastAsia="zh-CN"/>
        </w:rPr>
      </w:pPr>
      <w:r>
        <w:rPr>
          <w:rFonts w:ascii="Times New Roman" w:hAnsi="Times New Roman" w:eastAsia="仿宋_GB2312"/>
          <w:b w:val="0"/>
          <w:bCs/>
          <w:color w:val="auto"/>
          <w:sz w:val="32"/>
        </w:rPr>
        <w:t>地址：昆明市官南大道2288号第二水质净化厂</w:t>
      </w:r>
      <w:r>
        <w:rPr>
          <w:rFonts w:hint="eastAsia" w:eastAsia="仿宋_GB2312"/>
          <w:b w:val="0"/>
          <w:bCs/>
          <w:color w:val="auto"/>
          <w:sz w:val="32"/>
          <w:lang w:val="en-US" w:eastAsia="zh-CN"/>
        </w:rPr>
        <w:t>305办公室</w:t>
      </w:r>
    </w:p>
    <w:p w14:paraId="6125CF65">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eastAsia" w:ascii="Times New Roman" w:hAnsi="Times New Roman" w:eastAsia="仿宋_GB2312"/>
          <w:b w:val="0"/>
          <w:bCs/>
          <w:color w:val="auto"/>
          <w:sz w:val="32"/>
          <w:lang w:eastAsia="zh-CN"/>
        </w:rPr>
      </w:pPr>
      <w:r>
        <w:rPr>
          <w:rFonts w:ascii="Times New Roman" w:hAnsi="Times New Roman" w:eastAsia="仿宋_GB2312"/>
          <w:b w:val="0"/>
          <w:bCs/>
          <w:color w:val="auto"/>
          <w:sz w:val="32"/>
        </w:rPr>
        <w:t>联系人：</w:t>
      </w:r>
      <w:r>
        <w:rPr>
          <w:rFonts w:hint="eastAsia" w:eastAsia="仿宋_GB2312"/>
          <w:b w:val="0"/>
          <w:bCs/>
          <w:color w:val="auto"/>
          <w:sz w:val="32"/>
          <w:lang w:val="en-US" w:eastAsia="zh-CN"/>
        </w:rPr>
        <w:t>李健谈</w:t>
      </w:r>
    </w:p>
    <w:p w14:paraId="0CD32BAF">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b w:val="0"/>
          <w:bCs/>
          <w:color w:val="auto"/>
          <w:sz w:val="32"/>
          <w:lang w:val="en-US" w:eastAsia="zh-CN"/>
        </w:rPr>
      </w:pPr>
      <w:r>
        <w:rPr>
          <w:rFonts w:ascii="Times New Roman" w:hAnsi="Times New Roman" w:eastAsia="仿宋_GB2312"/>
          <w:b w:val="0"/>
          <w:bCs/>
          <w:color w:val="auto"/>
          <w:sz w:val="32"/>
        </w:rPr>
        <w:t>联系电话：13</w:t>
      </w:r>
      <w:r>
        <w:rPr>
          <w:rFonts w:hint="eastAsia" w:eastAsia="仿宋_GB2312"/>
          <w:b w:val="0"/>
          <w:bCs/>
          <w:color w:val="auto"/>
          <w:sz w:val="32"/>
          <w:lang w:val="en-US" w:eastAsia="zh-CN"/>
        </w:rPr>
        <w:t>888320706</w:t>
      </w:r>
    </w:p>
    <w:p w14:paraId="49FBE4AE">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left"/>
        <w:textAlignment w:val="auto"/>
        <w:rPr>
          <w:rFonts w:ascii="Times New Roman" w:hAnsi="Times New Roman" w:eastAsia="仿宋_GB2312"/>
          <w:b w:val="0"/>
          <w:bCs/>
          <w:color w:val="auto"/>
          <w:sz w:val="32"/>
        </w:rPr>
      </w:pPr>
    </w:p>
    <w:p w14:paraId="02E65058">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left"/>
        <w:textAlignment w:val="auto"/>
        <w:rPr>
          <w:rFonts w:ascii="Times New Roman" w:hAnsi="Times New Roman" w:eastAsia="仿宋_GB2312"/>
          <w:b w:val="0"/>
          <w:bCs/>
          <w:color w:val="auto"/>
          <w:sz w:val="32"/>
        </w:rPr>
      </w:pPr>
    </w:p>
    <w:p w14:paraId="7BE04278">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2880" w:firstLineChars="900"/>
        <w:jc w:val="left"/>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昆明城市污水处理运营有限责任公司</w:t>
      </w:r>
    </w:p>
    <w:p w14:paraId="4F47FF86">
      <w:pPr>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0" w:leftChars="0" w:right="0" w:rightChars="0" w:firstLine="4160" w:firstLineChars="1300"/>
        <w:jc w:val="left"/>
        <w:textAlignment w:val="auto"/>
        <w:rPr>
          <w:rFonts w:ascii="Times New Roman" w:hAnsi="Times New Roman" w:eastAsia="仿宋_GB2312"/>
          <w:b w:val="0"/>
          <w:bCs/>
          <w:color w:val="auto"/>
          <w:sz w:val="32"/>
        </w:rPr>
      </w:pPr>
      <w:r>
        <w:rPr>
          <w:rFonts w:ascii="Times New Roman" w:hAnsi="Times New Roman" w:eastAsia="仿宋_GB2312"/>
          <w:b w:val="0"/>
          <w:bCs/>
          <w:color w:val="auto"/>
          <w:sz w:val="32"/>
        </w:rPr>
        <w:t>2026年9月2</w:t>
      </w:r>
      <w:r>
        <w:rPr>
          <w:rFonts w:hint="eastAsia" w:eastAsia="仿宋_GB2312"/>
          <w:b w:val="0"/>
          <w:bCs/>
          <w:color w:val="auto"/>
          <w:sz w:val="32"/>
          <w:lang w:val="en-US" w:eastAsia="zh-CN"/>
        </w:rPr>
        <w:t>3</w:t>
      </w:r>
      <w:r>
        <w:rPr>
          <w:rFonts w:ascii="Times New Roman" w:hAnsi="Times New Roman" w:eastAsia="仿宋_GB2312"/>
          <w:b w:val="0"/>
          <w:bCs/>
          <w:color w:val="auto"/>
          <w:sz w:val="32"/>
        </w:rPr>
        <w:t>日</w:t>
      </w:r>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panose1 w:val="02060409020205020404"/>
    <w:charset w:val="00"/>
    <w:family w:val="auto"/>
    <w:pitch w:val="default"/>
    <w:sig w:usb0="00000007" w:usb1="00000000" w:usb2="00000000" w:usb3="00000000" w:csb0="00000093"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4B398B"/>
    <w:multiLevelType w:val="singleLevel"/>
    <w:tmpl w:val="DD4B398B"/>
    <w:lvl w:ilvl="0" w:tentative="0">
      <w:start w:val="7"/>
      <w:numFmt w:val="decimal"/>
      <w:suff w:val="space"/>
      <w:lvlText w:val="%1."/>
      <w:lvlJc w:val="left"/>
    </w:lvl>
  </w:abstractNum>
  <w:abstractNum w:abstractNumId="1">
    <w:nsid w:val="F64430FB"/>
    <w:multiLevelType w:val="singleLevel"/>
    <w:tmpl w:val="F64430FB"/>
    <w:lvl w:ilvl="0" w:tentative="0">
      <w:start w:val="1"/>
      <w:numFmt w:val="decimal"/>
      <w:suff w:val="space"/>
      <w:lvlText w:val="%1."/>
      <w:lvlJc w:val="left"/>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B62626B"/>
    <w:rsid w:val="1D183933"/>
    <w:rsid w:val="22C253A7"/>
    <w:rsid w:val="2C9254B0"/>
    <w:rsid w:val="2F35161A"/>
    <w:rsid w:val="2F4343B0"/>
    <w:rsid w:val="32AD1732"/>
    <w:rsid w:val="3428552F"/>
    <w:rsid w:val="353E16B4"/>
    <w:rsid w:val="35671CFB"/>
    <w:rsid w:val="39873EC3"/>
    <w:rsid w:val="3DAD5C5E"/>
    <w:rsid w:val="40F9630B"/>
    <w:rsid w:val="42312034"/>
    <w:rsid w:val="531D3476"/>
    <w:rsid w:val="55334270"/>
    <w:rsid w:val="570023E5"/>
    <w:rsid w:val="60AA20C1"/>
    <w:rsid w:val="7045596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before="0" w:after="0" w:line="360" w:lineRule="auto"/>
    </w:pPr>
    <w:rPr>
      <w:rFonts w:ascii="Times New Roman" w:hAnsi="Times New Roman" w:eastAsia="宋体" w:cstheme="minorBidi"/>
      <w:color w:val="000000"/>
      <w:sz w:val="24"/>
      <w:szCs w:val="22"/>
      <w:lang w:val="en-US" w:eastAsia="en-US" w:bidi="ar-SA"/>
    </w:rPr>
  </w:style>
  <w:style w:type="paragraph" w:styleId="4">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4"/>
    <w:unhideWhenUsed/>
    <w:qFormat/>
    <w:uiPriority w:val="99"/>
    <w:pPr>
      <w:spacing w:after="120"/>
    </w:pPr>
  </w:style>
  <w:style w:type="paragraph" w:styleId="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6"/>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2"/>
    <w:qFormat/>
    <w:uiPriority w:val="99"/>
  </w:style>
  <w:style w:type="character" w:customStyle="1" w:styleId="145">
    <w:name w:val="Body Text 2 Char"/>
    <w:basedOn w:val="132"/>
    <w:link w:val="28"/>
    <w:qFormat/>
    <w:uiPriority w:val="99"/>
  </w:style>
  <w:style w:type="character" w:customStyle="1" w:styleId="146">
    <w:name w:val="Body Text 3 Char"/>
    <w:basedOn w:val="132"/>
    <w:link w:val="18"/>
    <w:qFormat/>
    <w:uiPriority w:val="99"/>
    <w:rPr>
      <w:sz w:val="16"/>
      <w:szCs w:val="16"/>
    </w:rPr>
  </w:style>
  <w:style w:type="character" w:customStyle="1" w:styleId="147">
    <w:name w:val="Macro Text Char"/>
    <w:basedOn w:val="132"/>
    <w:link w:val="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8"/>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9"/>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1926</Words>
  <Characters>2094</Characters>
  <Lines>0</Lines>
  <Paragraphs>0</Paragraphs>
  <TotalTime>0</TotalTime>
  <ScaleCrop>false</ScaleCrop>
  <LinksUpToDate>false</LinksUpToDate>
  <CharactersWithSpaces>2120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key飛word</cp:lastModifiedBy>
  <dcterms:modified xsi:type="dcterms:W3CDTF">2026-09-22T09:05:41Z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eyJoZGlkIjoiMTYzZmZmYWFmMmFjY2JkY2JkNmU4YjExY2IyZjYzODMiLCJ1c2VySWQiOiI2NjM1NzQwMjcifQ==</vt:lpwstr>
  </property>
  <property fmtid="{D5CDD505-2E9C-101B-9397-08002B2CF9AE}" pid="3" name="KSOProductBuildVer">
    <vt:lpwstr>2052-12.1.0.28505</vt:lpwstr>
  </property>
  <property fmtid="{D5CDD505-2E9C-101B-9397-08002B2CF9AE}" pid="4" name="ICV">
    <vt:lpwstr>DB3835AC91694A81A8BC3EF760B5D627_12</vt:lpwstr>
  </property>
</Properties>
</file>